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E1" w:rsidRPr="00E30961" w:rsidRDefault="00E019E1" w:rsidP="002C22E7">
      <w:pPr>
        <w:pStyle w:val="a5"/>
        <w:spacing w:line="240" w:lineRule="auto"/>
        <w:ind w:left="3540"/>
        <w:jc w:val="right"/>
        <w:rPr>
          <w:sz w:val="28"/>
          <w:szCs w:val="28"/>
        </w:rPr>
      </w:pPr>
      <w:r w:rsidRPr="00E30961">
        <w:rPr>
          <w:sz w:val="28"/>
          <w:szCs w:val="28"/>
        </w:rPr>
        <w:t>ПРИЛОЖЕНИЕ 2</w:t>
      </w:r>
    </w:p>
    <w:p w:rsidR="00E019E1" w:rsidRPr="00E30961" w:rsidRDefault="00E019E1" w:rsidP="002C22E7">
      <w:pPr>
        <w:ind w:left="3540"/>
        <w:jc w:val="right"/>
        <w:rPr>
          <w:sz w:val="28"/>
          <w:szCs w:val="28"/>
        </w:rPr>
      </w:pPr>
      <w:r w:rsidRPr="00E30961">
        <w:rPr>
          <w:sz w:val="28"/>
          <w:szCs w:val="28"/>
        </w:rPr>
        <w:t>к муниципальной программе</w:t>
      </w:r>
    </w:p>
    <w:p w:rsidR="00E019E1" w:rsidRPr="00E30961" w:rsidRDefault="00E019E1" w:rsidP="002C22E7">
      <w:pPr>
        <w:ind w:left="3540"/>
        <w:jc w:val="right"/>
        <w:rPr>
          <w:sz w:val="28"/>
          <w:szCs w:val="28"/>
        </w:rPr>
      </w:pPr>
      <w:r w:rsidRPr="00E30961">
        <w:rPr>
          <w:sz w:val="28"/>
          <w:szCs w:val="28"/>
        </w:rPr>
        <w:t>«Обеспечение качественным жильём</w:t>
      </w:r>
    </w:p>
    <w:p w:rsidR="00E019E1" w:rsidRPr="00E30961" w:rsidRDefault="00E019E1" w:rsidP="002C22E7">
      <w:pPr>
        <w:ind w:left="3540"/>
        <w:jc w:val="right"/>
        <w:rPr>
          <w:sz w:val="28"/>
          <w:szCs w:val="28"/>
        </w:rPr>
      </w:pPr>
      <w:r w:rsidRPr="00E30961">
        <w:rPr>
          <w:sz w:val="28"/>
          <w:szCs w:val="28"/>
        </w:rPr>
        <w:t>населения Златоустовского городского округа»</w:t>
      </w: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pStyle w:val="ConsNormal"/>
        <w:widowControl/>
        <w:ind w:righ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E30961">
        <w:rPr>
          <w:rFonts w:ascii="Times New Roman" w:hAnsi="Times New Roman"/>
          <w:sz w:val="28"/>
          <w:szCs w:val="28"/>
        </w:rPr>
        <w:t>Подпрограмма</w:t>
      </w:r>
    </w:p>
    <w:p w:rsidR="00E019E1" w:rsidRPr="00E30961" w:rsidRDefault="00E019E1" w:rsidP="002C22E7">
      <w:pPr>
        <w:pStyle w:val="ConsNormal"/>
        <w:widowControl/>
        <w:ind w:righ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E30961">
        <w:rPr>
          <w:rFonts w:ascii="Times New Roman" w:hAnsi="Times New Roman"/>
          <w:sz w:val="28"/>
          <w:szCs w:val="28"/>
        </w:rPr>
        <w:t>«Мероприятия по переселению граждан</w:t>
      </w:r>
    </w:p>
    <w:p w:rsidR="00E019E1" w:rsidRPr="00E30961" w:rsidRDefault="00E019E1" w:rsidP="002C22E7">
      <w:pPr>
        <w:pStyle w:val="ConsNormal"/>
        <w:widowControl/>
        <w:ind w:righ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E30961">
        <w:rPr>
          <w:rFonts w:ascii="Times New Roman" w:hAnsi="Times New Roman"/>
          <w:sz w:val="28"/>
          <w:szCs w:val="28"/>
        </w:rPr>
        <w:t>из жилищного фонда,</w:t>
      </w:r>
    </w:p>
    <w:p w:rsidR="00E019E1" w:rsidRPr="00E30961" w:rsidRDefault="00E019E1" w:rsidP="002C22E7">
      <w:pPr>
        <w:pStyle w:val="ConsNormal"/>
        <w:widowControl/>
        <w:ind w:righ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E30961">
        <w:rPr>
          <w:rFonts w:ascii="Times New Roman" w:hAnsi="Times New Roman"/>
          <w:sz w:val="28"/>
          <w:szCs w:val="28"/>
        </w:rPr>
        <w:t>признанного непригодным для проживания»</w:t>
      </w: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sz w:val="28"/>
          <w:szCs w:val="28"/>
        </w:rPr>
      </w:pPr>
    </w:p>
    <w:p w:rsidR="00E019E1" w:rsidRPr="00E30961" w:rsidRDefault="00E019E1" w:rsidP="002C22E7">
      <w:pPr>
        <w:rPr>
          <w:sz w:val="28"/>
          <w:szCs w:val="28"/>
        </w:rPr>
      </w:pPr>
    </w:p>
    <w:p w:rsidR="00E019E1" w:rsidRPr="00E30961" w:rsidRDefault="00E019E1" w:rsidP="002C22E7">
      <w:pPr>
        <w:rPr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b/>
          <w:sz w:val="28"/>
          <w:szCs w:val="28"/>
        </w:rPr>
      </w:pPr>
    </w:p>
    <w:p w:rsidR="00E019E1" w:rsidRPr="00E30961" w:rsidRDefault="00E019E1" w:rsidP="002C22E7">
      <w:pPr>
        <w:jc w:val="center"/>
        <w:rPr>
          <w:sz w:val="28"/>
          <w:szCs w:val="28"/>
        </w:rPr>
      </w:pPr>
      <w:r w:rsidRPr="00E30961">
        <w:rPr>
          <w:sz w:val="28"/>
          <w:szCs w:val="28"/>
        </w:rPr>
        <w:t>г. Златоуст</w:t>
      </w: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r w:rsidRPr="00E30961">
        <w:rPr>
          <w:bCs/>
          <w:sz w:val="28"/>
          <w:szCs w:val="28"/>
          <w:lang w:eastAsia="ru-RU"/>
        </w:rPr>
        <w:lastRenderedPageBreak/>
        <w:t>Паспорт</w:t>
      </w:r>
      <w:r w:rsidRPr="00E30961">
        <w:rPr>
          <w:bCs/>
          <w:sz w:val="28"/>
          <w:szCs w:val="28"/>
          <w:lang w:eastAsia="ru-RU"/>
        </w:rPr>
        <w:br/>
        <w:t xml:space="preserve">Подпрограммы </w:t>
      </w:r>
      <w:r w:rsidR="002C22E7" w:rsidRPr="00E30961">
        <w:rPr>
          <w:bCs/>
          <w:sz w:val="28"/>
          <w:szCs w:val="28"/>
          <w:lang w:eastAsia="ru-RU"/>
        </w:rPr>
        <w:t>«</w:t>
      </w:r>
      <w:r w:rsidRPr="00E30961">
        <w:rPr>
          <w:bCs/>
          <w:sz w:val="28"/>
          <w:szCs w:val="28"/>
          <w:lang w:eastAsia="ru-RU"/>
        </w:rPr>
        <w:t>Мероприятия по переселению граждан из жилищного фонда, признанного непригодным для проживания</w:t>
      </w:r>
      <w:r w:rsidR="002C22E7" w:rsidRPr="00E30961">
        <w:rPr>
          <w:bCs/>
          <w:sz w:val="28"/>
          <w:szCs w:val="28"/>
          <w:lang w:eastAsia="ru-RU"/>
        </w:rPr>
        <w:t>»</w:t>
      </w:r>
      <w:r w:rsidRPr="00E30961">
        <w:rPr>
          <w:bCs/>
          <w:sz w:val="28"/>
          <w:szCs w:val="28"/>
          <w:lang w:eastAsia="ru-RU"/>
        </w:rPr>
        <w:t xml:space="preserve"> (далее - подпрограмма)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685"/>
        <w:gridCol w:w="6954"/>
      </w:tblGrid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0" w:name="sub_1123"/>
            <w:r w:rsidRPr="00E30961">
              <w:rPr>
                <w:sz w:val="28"/>
                <w:szCs w:val="28"/>
                <w:lang w:eastAsia="ru-RU"/>
              </w:rPr>
              <w:t>Ответственный исполнитель подпрограммы</w:t>
            </w:r>
            <w:bookmarkEnd w:id="0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Администрация Златоустовского городского округа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1" w:name="sub_1124"/>
            <w:r w:rsidRPr="00E30961">
              <w:rPr>
                <w:sz w:val="28"/>
                <w:szCs w:val="28"/>
                <w:lang w:eastAsia="ru-RU"/>
              </w:rPr>
              <w:t>Соисполнители подпрограммы</w:t>
            </w:r>
            <w:bookmarkEnd w:id="1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Комитет по управлению имуществом Златоустовского городского округа,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Муниципальное казенное учреждение Златоустовского городского округа </w:t>
            </w:r>
            <w:r w:rsidR="002C22E7" w:rsidRPr="00E30961">
              <w:rPr>
                <w:sz w:val="28"/>
                <w:szCs w:val="28"/>
                <w:lang w:eastAsia="ru-RU"/>
              </w:rPr>
              <w:t>«</w:t>
            </w:r>
            <w:r w:rsidRPr="00E30961">
              <w:rPr>
                <w:sz w:val="28"/>
                <w:szCs w:val="28"/>
                <w:lang w:eastAsia="ru-RU"/>
              </w:rPr>
              <w:t>Управление жилищно-коммунального хозяйства</w:t>
            </w:r>
            <w:r w:rsidR="002C22E7" w:rsidRPr="00E30961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2" w:name="sub_1125"/>
            <w:r w:rsidRPr="00E30961">
              <w:rPr>
                <w:sz w:val="28"/>
                <w:szCs w:val="28"/>
                <w:lang w:eastAsia="ru-RU"/>
              </w:rPr>
              <w:t>Цели подпрограммы</w:t>
            </w:r>
            <w:bookmarkEnd w:id="2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2) уменьшение аварийного жилищного фонда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 xml:space="preserve">в Златоустовском городском округе, признанного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в установленном порядке аварийным и подлежащим сносу.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3" w:name="sub_1126"/>
            <w:r w:rsidRPr="00E30961">
              <w:rPr>
                <w:sz w:val="28"/>
                <w:szCs w:val="28"/>
                <w:lang w:eastAsia="ru-RU"/>
              </w:rPr>
              <w:t>Задачи подпрограммы</w:t>
            </w:r>
            <w:bookmarkEnd w:id="3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1) формирование жилищного фонда, необходимого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для переселения граждан из аварийного жилищного фонда;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2) снос жилых домов, признанных аварийными,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и жилых домов с высоким (более 70 процентов) уровнем износа.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4" w:name="sub_1127"/>
            <w:r w:rsidRPr="00E30961">
              <w:rPr>
                <w:sz w:val="28"/>
                <w:szCs w:val="28"/>
                <w:lang w:eastAsia="ru-RU"/>
              </w:rPr>
              <w:t>Целевые индикаторы подпрограммы</w:t>
            </w:r>
            <w:bookmarkEnd w:id="4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1) строительство и (или) приобретение жилья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 xml:space="preserve">для переселения граждан из жилищного фонда, признанного непригодным для проживания,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тыс. кв. метров;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2) количество граждан округа (семей), переселенных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и техническим требованиям, семей;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3) снос ветхо-аварийного жилья, тыс. кв. метров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2025-2028 годы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5" w:name="sub_1129"/>
            <w:r w:rsidRPr="00E30961">
              <w:rPr>
                <w:sz w:val="28"/>
                <w:szCs w:val="28"/>
                <w:lang w:eastAsia="ru-RU"/>
              </w:rPr>
              <w:t>Объемы финансовых ресурсов подпрограммы</w:t>
            </w:r>
            <w:bookmarkEnd w:id="5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Объем финансирования подпрограммы в 2025-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 xml:space="preserve">2028 годах – 1 130 984,99010 тыс. рублей,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в том числе за счет: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федерального бюджета – 139 801,18587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областного бюджета – 989 807,64254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местного бюджета – 1 376,16169 тыс. рублей.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lastRenderedPageBreak/>
              <w:t>Объем финансирования подпрограммы в 2025 году –       297 413,53408 тыс. рублей, в том числе за счёт: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федерального бюджета – 139 801,18587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областного бюджета – 157 069,75798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местного бюджета – 542,59023 тыс. рублей.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Объем финансирования подпрограммы в 2026 году -              389 049,46843 тыс. рублей, в том числе за счёт: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федерального бюджета - 0,00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областного бюджета – 388 660,41896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местного бюджета – 389,04947 тыс. рублей.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Объем финансирования подпрограммы в 2027 году – 153 631,09670 тыс. рублей, в том числе за счёт: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федерального бюджета - 0,00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областного бюджета – 153 477,46560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местного бюджета – 153,63110 тыс. рублей.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Объем финансирования подпрограммы в 2028 году – 290 890,89089 тыс. рублей, в том числе за счёт: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федерального бюджета - 0,00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областного бюджета – 290 600,00 тыс. рублей;</w:t>
            </w:r>
          </w:p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>местного бюджета – 290,89089 тыс. рублей.</w:t>
            </w:r>
          </w:p>
        </w:tc>
      </w:tr>
      <w:tr w:rsidR="00E30961" w:rsidRPr="00E30961" w:rsidTr="002C22E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6" w:name="sub_1130"/>
            <w:r w:rsidRPr="00E30961">
              <w:rPr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  <w:bookmarkEnd w:id="6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E1" w:rsidRPr="00E30961" w:rsidRDefault="008A48E1" w:rsidP="002C22E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30961">
              <w:rPr>
                <w:sz w:val="28"/>
                <w:szCs w:val="28"/>
                <w:lang w:eastAsia="ru-RU"/>
              </w:rPr>
              <w:t xml:space="preserve">Переселение граждан (семей) из жилых помещений, признанных непригодными для проживания – </w:t>
            </w:r>
            <w:r w:rsidR="002C22E7" w:rsidRPr="00E30961">
              <w:rPr>
                <w:sz w:val="28"/>
                <w:szCs w:val="28"/>
                <w:lang w:eastAsia="ru-RU"/>
              </w:rPr>
              <w:br/>
            </w:r>
            <w:r w:rsidRPr="00E30961">
              <w:rPr>
                <w:sz w:val="28"/>
                <w:szCs w:val="28"/>
                <w:lang w:eastAsia="ru-RU"/>
              </w:rPr>
              <w:t>286 семей</w:t>
            </w:r>
          </w:p>
        </w:tc>
      </w:tr>
    </w:tbl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bookmarkStart w:id="7" w:name="sub_1061"/>
      <w:r w:rsidRPr="00E30961">
        <w:rPr>
          <w:bCs/>
          <w:sz w:val="28"/>
          <w:szCs w:val="28"/>
          <w:lang w:eastAsia="ru-RU"/>
        </w:rPr>
        <w:t>I. Характеристика сферы реализации подпрограммы, описание основных проблем в указанной сфере</w:t>
      </w:r>
    </w:p>
    <w:bookmarkEnd w:id="7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8" w:name="sub_1062"/>
      <w:r w:rsidRPr="00E30961">
        <w:rPr>
          <w:sz w:val="28"/>
          <w:szCs w:val="28"/>
          <w:lang w:eastAsia="ru-RU"/>
        </w:rPr>
        <w:t xml:space="preserve">1. Жилищный фонд, признанный непригодным для проживания, представляет собой одно - двухэтажные строения постройки пятидесятых </w:t>
      </w:r>
      <w:r w:rsidR="002C22E7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 xml:space="preserve">и ранее годов, не отвечающие установленным санитарным и техническим требованиям. Это жилье построено из строительных материалов с низкой степенью надежности, не удовлетворяющих новым требованиям тепло - </w:t>
      </w:r>
      <w:r w:rsidR="002C22E7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и энергосбережения для жилых зданий.</w:t>
      </w:r>
    </w:p>
    <w:bookmarkEnd w:id="8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Масштаб проблемы переселения граждан Златоустовского городского округа из жилищного фонда, признанного непригодным для проживания, </w:t>
      </w:r>
      <w:r w:rsidR="002C22E7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 xml:space="preserve">в значительной степени зависит от формирования нормативной правовой базы. Правовое регулирование вопросов переселения граждан из муниципального жилищного фонда, признанного </w:t>
      </w:r>
      <w:hyperlink r:id="rId7" w:history="1">
        <w:r w:rsidRPr="00E30961">
          <w:rPr>
            <w:sz w:val="28"/>
            <w:szCs w:val="28"/>
            <w:lang w:eastAsia="ru-RU"/>
          </w:rPr>
          <w:t>непригодным</w:t>
        </w:r>
      </w:hyperlink>
      <w:r w:rsidRPr="00E30961">
        <w:rPr>
          <w:sz w:val="28"/>
          <w:szCs w:val="28"/>
          <w:lang w:eastAsia="ru-RU"/>
        </w:rPr>
        <w:t xml:space="preserve"> для проживания, осуществляется в рамках жилищного законодательства, которое является предметом совместного ведения Российской Федерации и её субъектов. Государство гарантирует гражданам, проживающим в жилом помещении (доме), </w:t>
      </w:r>
      <w:r w:rsidR="002C22E7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lastRenderedPageBreak/>
        <w:t>не отвечающем установленным санитарным и техническим требованиям, право на получение в пользование жилых помещений по договорам социального найма (</w:t>
      </w:r>
      <w:hyperlink r:id="rId8" w:history="1">
        <w:r w:rsidRPr="00E30961">
          <w:rPr>
            <w:sz w:val="28"/>
            <w:szCs w:val="28"/>
            <w:lang w:eastAsia="ru-RU"/>
          </w:rPr>
          <w:t>статья 85</w:t>
        </w:r>
      </w:hyperlink>
      <w:r w:rsidRPr="00E30961">
        <w:rPr>
          <w:sz w:val="28"/>
          <w:szCs w:val="28"/>
          <w:lang w:eastAsia="ru-RU"/>
        </w:rPr>
        <w:t xml:space="preserve"> Жилищного кодекса Российской Федерации). Подпрограмма призвана обеспечить выполнение обязательства государства на реализацию права граждан, проживающих в жилищном фонде, не отвечающем установленным санитарным и техническим требованиям.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Мероприятия, осуществляемые в рамках Подпрограммы, позволят сократить количество аварийного жилищного фонда Златоустовского городского округа и переселить граждан в новое комфортное жилье, отвечающее санитарным и техническим требованиям.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Для ликвидации до 2028 года жилищного фонда, имеющего критическую степень износа (более 70 процентов), необходимо снести не менее </w:t>
      </w:r>
      <w:r w:rsidR="002C22E7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64,64068 тыс. кв. метров жилья.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r w:rsidRPr="00E30961">
        <w:rPr>
          <w:bCs/>
          <w:sz w:val="28"/>
          <w:szCs w:val="28"/>
          <w:lang w:eastAsia="ru-RU"/>
        </w:rPr>
        <w:t xml:space="preserve">II. Приоритеты муниципальной политики в сфере реализации подпрограммы, цели, задачи и целевые индикаторы достижения целей и решения задач, описание основных ожидаемых результатов подпрограммы, </w:t>
      </w:r>
      <w:r w:rsidR="002C22E7" w:rsidRPr="00E30961">
        <w:rPr>
          <w:bCs/>
          <w:sz w:val="28"/>
          <w:szCs w:val="28"/>
          <w:lang w:eastAsia="ru-RU"/>
        </w:rPr>
        <w:br/>
      </w:r>
      <w:r w:rsidRPr="00E30961">
        <w:rPr>
          <w:bCs/>
          <w:sz w:val="28"/>
          <w:szCs w:val="28"/>
          <w:lang w:eastAsia="ru-RU"/>
        </w:rPr>
        <w:t>сроков и контрольных этапов реализации подпрограммы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9" w:name="sub_1064"/>
      <w:r w:rsidRPr="00E30961">
        <w:rPr>
          <w:sz w:val="28"/>
          <w:szCs w:val="28"/>
          <w:lang w:eastAsia="ru-RU"/>
        </w:rPr>
        <w:t>2. Основными целями подпрограммы являются:</w:t>
      </w:r>
    </w:p>
    <w:bookmarkEnd w:id="9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1) создание на территории Златоустовского городского округа условий для переселения граждан из аварийных многоквартирных домов;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2) уменьшение аварийного жилищного фонда в Златоустовском городском округе, признанного в установленном порядке аварийным </w:t>
      </w:r>
      <w:r w:rsidR="00C97FFC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и подлежащим сносу.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0" w:name="sub_1065"/>
      <w:r w:rsidRPr="00E30961">
        <w:rPr>
          <w:sz w:val="28"/>
          <w:szCs w:val="28"/>
          <w:lang w:eastAsia="ru-RU"/>
        </w:rPr>
        <w:t>3. Основными задачами подпрограммы являются:</w:t>
      </w:r>
    </w:p>
    <w:bookmarkEnd w:id="10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1) формирование жилищного фонда, необходимого для переселения граждан из аварийного жилищного фонда;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2) снос жилых домов, признанных аварийными, и жилых домов </w:t>
      </w:r>
      <w:r w:rsidR="00C97FFC" w:rsidRP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с высоким (более 70 процентов) уровнем износа.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4. В результате реализации данной подпрограммы планируется достижение следующих целевых индикаторов:</w:t>
      </w:r>
    </w:p>
    <w:tbl>
      <w:tblPr>
        <w:tblW w:w="96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4"/>
        <w:gridCol w:w="1130"/>
        <w:gridCol w:w="1010"/>
        <w:gridCol w:w="1094"/>
        <w:gridCol w:w="1195"/>
        <w:gridCol w:w="1096"/>
      </w:tblGrid>
      <w:tr w:rsidR="00E30961" w:rsidRPr="00E30961" w:rsidTr="00F203B6">
        <w:trPr>
          <w:trHeight w:val="725"/>
          <w:tblCellSpacing w:w="0" w:type="dxa"/>
          <w:jc w:val="center"/>
        </w:trPr>
        <w:tc>
          <w:tcPr>
            <w:tcW w:w="4693" w:type="dxa"/>
            <w:vMerge w:val="restart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Наименование индикативных показателей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Ед. изм.</w:t>
            </w:r>
            <w:bookmarkStart w:id="11" w:name="_GoBack"/>
            <w:bookmarkEnd w:id="11"/>
          </w:p>
        </w:tc>
        <w:tc>
          <w:tcPr>
            <w:tcW w:w="4868" w:type="dxa"/>
            <w:gridSpan w:val="4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Плановые показатели подпрограммы</w:t>
            </w:r>
          </w:p>
        </w:tc>
      </w:tr>
      <w:tr w:rsidR="00E30961" w:rsidRPr="00E30961" w:rsidTr="00F203B6">
        <w:trPr>
          <w:trHeight w:val="943"/>
          <w:tblCellSpacing w:w="0" w:type="dxa"/>
          <w:jc w:val="center"/>
        </w:trPr>
        <w:tc>
          <w:tcPr>
            <w:tcW w:w="4693" w:type="dxa"/>
            <w:vMerge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1196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1322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2027 год</w:t>
            </w:r>
          </w:p>
        </w:tc>
        <w:tc>
          <w:tcPr>
            <w:tcW w:w="1229" w:type="dxa"/>
            <w:vAlign w:val="center"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2028 год</w:t>
            </w:r>
          </w:p>
        </w:tc>
      </w:tr>
      <w:tr w:rsidR="00E30961" w:rsidRPr="00E30961" w:rsidTr="00F203B6">
        <w:trPr>
          <w:tblCellSpacing w:w="0" w:type="dxa"/>
          <w:jc w:val="center"/>
        </w:trPr>
        <w:tc>
          <w:tcPr>
            <w:tcW w:w="4693" w:type="dxa"/>
            <w:vAlign w:val="center"/>
            <w:hideMark/>
          </w:tcPr>
          <w:p w:rsidR="008A48E1" w:rsidRPr="00E30961" w:rsidRDefault="008A48E1" w:rsidP="00C97FF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 xml:space="preserve">1. Строительство и (или) приобретение жилья для переселения граждан </w:t>
            </w:r>
            <w:r w:rsidR="00C97FFC" w:rsidRPr="00E30961">
              <w:rPr>
                <w:rFonts w:eastAsia="Calibri"/>
                <w:sz w:val="24"/>
                <w:szCs w:val="24"/>
              </w:rPr>
              <w:br/>
            </w:r>
            <w:r w:rsidRPr="00E30961">
              <w:rPr>
                <w:rFonts w:eastAsia="Calibri"/>
                <w:sz w:val="24"/>
                <w:szCs w:val="24"/>
              </w:rPr>
              <w:t>из жилищного фонда, признанного непригодным для проживания</w:t>
            </w:r>
          </w:p>
        </w:tc>
        <w:tc>
          <w:tcPr>
            <w:tcW w:w="1227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тыс. кв. метров</w:t>
            </w:r>
          </w:p>
        </w:tc>
        <w:tc>
          <w:tcPr>
            <w:tcW w:w="1121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2,798</w:t>
            </w:r>
          </w:p>
        </w:tc>
        <w:tc>
          <w:tcPr>
            <w:tcW w:w="1196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3,3603</w:t>
            </w:r>
          </w:p>
        </w:tc>
        <w:tc>
          <w:tcPr>
            <w:tcW w:w="1322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1,2986</w:t>
            </w:r>
          </w:p>
        </w:tc>
        <w:tc>
          <w:tcPr>
            <w:tcW w:w="1229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2,493</w:t>
            </w:r>
          </w:p>
        </w:tc>
      </w:tr>
      <w:tr w:rsidR="00E30961" w:rsidRPr="00E30961" w:rsidTr="00F203B6">
        <w:trPr>
          <w:tblCellSpacing w:w="0" w:type="dxa"/>
          <w:jc w:val="center"/>
        </w:trPr>
        <w:tc>
          <w:tcPr>
            <w:tcW w:w="4693" w:type="dxa"/>
            <w:vAlign w:val="center"/>
            <w:hideMark/>
          </w:tcPr>
          <w:p w:rsidR="008A48E1" w:rsidRPr="00E30961" w:rsidRDefault="008A48E1" w:rsidP="00C97FF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2. Снос ветхо-аварийного жилья</w:t>
            </w:r>
          </w:p>
        </w:tc>
        <w:tc>
          <w:tcPr>
            <w:tcW w:w="1227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тыс. кв. метров</w:t>
            </w:r>
          </w:p>
        </w:tc>
        <w:tc>
          <w:tcPr>
            <w:tcW w:w="1121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96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22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29" w:type="dxa"/>
            <w:vAlign w:val="center"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E30961" w:rsidRPr="00E30961" w:rsidTr="00F203B6">
        <w:trPr>
          <w:tblCellSpacing w:w="0" w:type="dxa"/>
          <w:jc w:val="center"/>
        </w:trPr>
        <w:tc>
          <w:tcPr>
            <w:tcW w:w="4693" w:type="dxa"/>
            <w:vAlign w:val="center"/>
            <w:hideMark/>
          </w:tcPr>
          <w:p w:rsidR="008A48E1" w:rsidRPr="00E30961" w:rsidRDefault="008A48E1" w:rsidP="00C97FF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t xml:space="preserve">3. Количество граждан округа (семей), переселенных из ветхого и аварийного </w:t>
            </w:r>
            <w:r w:rsidRPr="00E30961">
              <w:rPr>
                <w:rFonts w:eastAsia="Calibri"/>
                <w:sz w:val="24"/>
                <w:szCs w:val="24"/>
              </w:rPr>
              <w:lastRenderedPageBreak/>
              <w:t>жилищного фонда в жилые помещения, отвечающие установленным санитарным и техническим требованиям</w:t>
            </w:r>
          </w:p>
        </w:tc>
        <w:tc>
          <w:tcPr>
            <w:tcW w:w="1227" w:type="dxa"/>
            <w:vAlign w:val="center"/>
            <w:hideMark/>
          </w:tcPr>
          <w:p w:rsidR="008A48E1" w:rsidRPr="00E30961" w:rsidRDefault="008A48E1" w:rsidP="002C22E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0961">
              <w:rPr>
                <w:rFonts w:eastAsia="Calibri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1121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76</w:t>
            </w:r>
          </w:p>
        </w:tc>
        <w:tc>
          <w:tcPr>
            <w:tcW w:w="1196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 w:rsidR="008A48E1" w:rsidRPr="00E30961" w:rsidRDefault="008A48E1" w:rsidP="002C22E7">
            <w:pPr>
              <w:snapToGrid w:val="0"/>
              <w:jc w:val="center"/>
              <w:rPr>
                <w:sz w:val="24"/>
                <w:szCs w:val="24"/>
              </w:rPr>
            </w:pPr>
            <w:r w:rsidRPr="00E30961">
              <w:rPr>
                <w:sz w:val="24"/>
                <w:szCs w:val="24"/>
              </w:rPr>
              <w:t>69</w:t>
            </w:r>
          </w:p>
        </w:tc>
      </w:tr>
    </w:tbl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left="170"/>
        <w:jc w:val="both"/>
        <w:rPr>
          <w:iCs/>
          <w:sz w:val="28"/>
          <w:szCs w:val="28"/>
          <w:shd w:val="clear" w:color="auto" w:fill="F0F0F0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5. Реализация подпрограммы приведет к достижению ожидаемых результатов: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переселение граждан (семей) из жилых помещений, признанных непригодными для проживания – 286 семей.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2" w:name="sub_1068"/>
      <w:r w:rsidRPr="00E30961">
        <w:rPr>
          <w:sz w:val="28"/>
          <w:szCs w:val="28"/>
          <w:lang w:eastAsia="ru-RU"/>
        </w:rPr>
        <w:t>6. Срок реализации подпрограммы: 2025-2028 годы.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3" w:name="sub_1069"/>
      <w:bookmarkEnd w:id="12"/>
      <w:r w:rsidRPr="00E30961">
        <w:rPr>
          <w:sz w:val="28"/>
          <w:szCs w:val="28"/>
          <w:lang w:eastAsia="ru-RU"/>
        </w:rPr>
        <w:t>7. Подпрограмма носит постоянный характер. В силу постоянного характера решаемых в рамках подпрограммы задач, выделение отдельных этапов ее реализации не предусматривается.</w:t>
      </w:r>
    </w:p>
    <w:bookmarkEnd w:id="13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r w:rsidRPr="00E30961">
        <w:rPr>
          <w:bCs/>
          <w:sz w:val="28"/>
          <w:szCs w:val="28"/>
          <w:lang w:eastAsia="ru-RU"/>
        </w:rPr>
        <w:t>III. Характеристика мероприятий подпрограммы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8. Перечень мероприятий подпрограммы представлен в </w:t>
      </w:r>
      <w:hyperlink r:id="rId9" w:anchor="sub_1016" w:history="1">
        <w:r w:rsidRPr="00E30961">
          <w:rPr>
            <w:sz w:val="28"/>
            <w:szCs w:val="28"/>
            <w:lang w:eastAsia="ru-RU"/>
          </w:rPr>
          <w:t>разделеV</w:t>
        </w:r>
      </w:hyperlink>
      <w:r w:rsidRPr="00E30961">
        <w:rPr>
          <w:sz w:val="28"/>
          <w:szCs w:val="28"/>
          <w:lang w:eastAsia="ru-RU"/>
        </w:rPr>
        <w:t xml:space="preserve"> программы.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4" w:name="sub_1072"/>
      <w:r w:rsidRPr="00E30961">
        <w:rPr>
          <w:sz w:val="28"/>
          <w:szCs w:val="28"/>
          <w:lang w:eastAsia="ru-RU"/>
        </w:rPr>
        <w:t xml:space="preserve">9. Реестр аварийного жилищного фонда на территории Златоустовского городского округа представлен в </w:t>
      </w:r>
      <w:hyperlink r:id="rId10" w:anchor="sub_21" w:history="1">
        <w:r w:rsidRPr="00E30961">
          <w:rPr>
            <w:sz w:val="28"/>
            <w:szCs w:val="28"/>
            <w:lang w:eastAsia="ru-RU"/>
          </w:rPr>
          <w:t>приложение</w:t>
        </w:r>
      </w:hyperlink>
      <w:r w:rsidRPr="00E30961">
        <w:rPr>
          <w:sz w:val="28"/>
          <w:szCs w:val="28"/>
          <w:lang w:eastAsia="ru-RU"/>
        </w:rPr>
        <w:t xml:space="preserve"> к подпрограмме.</w:t>
      </w:r>
    </w:p>
    <w:bookmarkEnd w:id="14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bookmarkStart w:id="15" w:name="sub_1073"/>
      <w:r w:rsidRPr="00E30961">
        <w:rPr>
          <w:bCs/>
          <w:sz w:val="28"/>
          <w:szCs w:val="28"/>
          <w:lang w:eastAsia="ru-RU"/>
        </w:rPr>
        <w:t xml:space="preserve">IV. Информация об участии предприятий и организаций, независимо </w:t>
      </w:r>
      <w:r w:rsidR="00E30961" w:rsidRPr="00E30961">
        <w:rPr>
          <w:bCs/>
          <w:sz w:val="28"/>
          <w:szCs w:val="28"/>
          <w:lang w:eastAsia="ru-RU"/>
        </w:rPr>
        <w:br/>
      </w:r>
      <w:r w:rsidRPr="00E30961">
        <w:rPr>
          <w:bCs/>
          <w:sz w:val="28"/>
          <w:szCs w:val="28"/>
          <w:lang w:eastAsia="ru-RU"/>
        </w:rPr>
        <w:t>от их организационно-правовой формы собственности, а также внебюджетных фондов, в реализации подпрограммы</w:t>
      </w:r>
    </w:p>
    <w:bookmarkEnd w:id="15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6" w:name="sub_1074"/>
      <w:r w:rsidRPr="00E30961">
        <w:rPr>
          <w:sz w:val="28"/>
          <w:szCs w:val="28"/>
          <w:lang w:eastAsia="ru-RU"/>
        </w:rPr>
        <w:t xml:space="preserve">10. Участие предприятий и организаций, независимо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bookmarkEnd w:id="16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bookmarkStart w:id="17" w:name="sub_1075"/>
      <w:r w:rsidRPr="00E30961">
        <w:rPr>
          <w:bCs/>
          <w:sz w:val="28"/>
          <w:szCs w:val="28"/>
          <w:lang w:eastAsia="ru-RU"/>
        </w:rPr>
        <w:t xml:space="preserve">V. Обоснование объема финансовых ресурсов, необходимых </w:t>
      </w:r>
      <w:r w:rsidR="00E30961">
        <w:rPr>
          <w:bCs/>
          <w:sz w:val="28"/>
          <w:szCs w:val="28"/>
          <w:lang w:eastAsia="ru-RU"/>
        </w:rPr>
        <w:br/>
      </w:r>
      <w:r w:rsidRPr="00E30961">
        <w:rPr>
          <w:bCs/>
          <w:sz w:val="28"/>
          <w:szCs w:val="28"/>
          <w:lang w:eastAsia="ru-RU"/>
        </w:rPr>
        <w:t>для реализации подпрограммы</w:t>
      </w:r>
    </w:p>
    <w:bookmarkEnd w:id="17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E3096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11. </w:t>
      </w:r>
      <w:r w:rsidR="008A48E1" w:rsidRPr="00E30961">
        <w:rPr>
          <w:sz w:val="28"/>
          <w:szCs w:val="28"/>
          <w:lang w:eastAsia="ru-RU"/>
        </w:rPr>
        <w:t xml:space="preserve">Объем финансирования подпрограммы в 2025-2028 годах – </w:t>
      </w:r>
      <w:r>
        <w:rPr>
          <w:sz w:val="28"/>
          <w:szCs w:val="28"/>
          <w:lang w:eastAsia="ru-RU"/>
        </w:rPr>
        <w:br/>
      </w:r>
      <w:r w:rsidR="008A48E1" w:rsidRPr="00E30961">
        <w:rPr>
          <w:sz w:val="28"/>
          <w:szCs w:val="28"/>
          <w:lang w:eastAsia="ru-RU"/>
        </w:rPr>
        <w:t>1 130 984,99010 тыс. рублей, в том числе за счет: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федерального бюджета – 139 801,18587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областного бюджета – 989 807,64254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местного бюджета – 1 376,16169 тыс. рублей.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Объем финансирования подпрограммы в 2025 году –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297 413,53408 тыс. рублей, в том числе за счёт: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федерального бюджета – 139 801,18587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областного бюджета – 157 069,75798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местного бюджета – 542,59023 тыс. рублей.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lastRenderedPageBreak/>
        <w:t xml:space="preserve">Объем финансирования подпрограммы в 2026 году </w:t>
      </w:r>
      <w:r w:rsidR="00E30961" w:rsidRPr="00E30961">
        <w:rPr>
          <w:sz w:val="28"/>
          <w:szCs w:val="28"/>
          <w:lang w:eastAsia="ru-RU"/>
        </w:rPr>
        <w:t>–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389 049,46843 тыс. рублей, в том числе за счёт: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федерального бюджета - 0,00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областного бюджета – 388 660,41896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местного бюджета – 389,04947 тыс. рублей.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Объем финансирования подпрограммы в 2027 году –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153 631,09670 тыс. рублей, в том числе за счёт: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федерального бюджета - 0,00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областного бюджета – 153 477,46560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местного бюджета – 153,63110 тыс. рублей.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Объем финансирования подпрограммы в 2028 году –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290 890,89089 тыс. рублей, в том числе за счёт: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федерального бюджета - 0,00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областного бюджета – 290 600,00 тыс. рублей;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местного бюджета – 290,89089 тыс. рублей.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8" w:name="sub_1077"/>
      <w:r w:rsidRPr="00E30961">
        <w:rPr>
          <w:sz w:val="28"/>
          <w:szCs w:val="28"/>
          <w:lang w:eastAsia="ru-RU"/>
        </w:rPr>
        <w:t xml:space="preserve">12. Обоснование объемов финансовых ресурсов, необходимых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для реализации подпрограммы изложено в </w:t>
      </w:r>
      <w:hyperlink r:id="rId11" w:anchor="sub_1016" w:history="1">
        <w:r w:rsidRPr="00E30961">
          <w:rPr>
            <w:sz w:val="28"/>
            <w:szCs w:val="28"/>
            <w:lang w:eastAsia="ru-RU"/>
          </w:rPr>
          <w:t>разделе V</w:t>
        </w:r>
      </w:hyperlink>
      <w:r w:rsidRPr="00E30961">
        <w:rPr>
          <w:sz w:val="28"/>
          <w:szCs w:val="28"/>
          <w:lang w:eastAsia="ru-RU"/>
        </w:rPr>
        <w:t> программы.</w:t>
      </w:r>
    </w:p>
    <w:bookmarkEnd w:id="18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  <w:lang w:eastAsia="ru-RU"/>
        </w:rPr>
      </w:pPr>
      <w:bookmarkStart w:id="19" w:name="sub_1078"/>
      <w:r w:rsidRPr="00E30961">
        <w:rPr>
          <w:bCs/>
          <w:sz w:val="28"/>
          <w:szCs w:val="28"/>
          <w:lang w:eastAsia="ru-RU"/>
        </w:rPr>
        <w:t>VI. Анализ рисков реализации подпрограммы и описание мер управления рисками реализации подпрограммы</w:t>
      </w:r>
    </w:p>
    <w:bookmarkEnd w:id="19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0" w:name="sub_1079"/>
      <w:r w:rsidRPr="00E30961">
        <w:rPr>
          <w:sz w:val="28"/>
          <w:szCs w:val="28"/>
          <w:lang w:eastAsia="ru-RU"/>
        </w:rPr>
        <w:t xml:space="preserve">13. При реализации настоящей подпрограммы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по корректировке приоритетных направлений и показателей подпрограммы.</w:t>
      </w:r>
    </w:p>
    <w:bookmarkEnd w:id="20"/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Риски реализации подпрограммы можно разделить на две группы: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внутренние - относятся к сфере компетенции ответственного исполнителя подпрограммы и исполнителей мероприятий подпрограммы,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внешние, наступление или не наступление которых, не зависит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от действий ответственного исполнителя подпрограммы.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Внутренние риски могут являться следствием: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отсутствия финансирования подпрограммы;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несвоевременных разработок, согласования и принятия документов, обеспечивающих выполнение мероприятий подпрограммы;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недостаточной оперативности при наступлении внешних рисков реализации подпрограммы.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Мерами управления внутренними рисками являются: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детальное планирование хода реализации подпрограммы;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своевременная актуализация ежегодных мероприятий реализации </w:t>
      </w:r>
      <w:r w:rsidRPr="00E30961">
        <w:rPr>
          <w:sz w:val="28"/>
          <w:szCs w:val="28"/>
          <w:lang w:eastAsia="ru-RU"/>
        </w:rPr>
        <w:lastRenderedPageBreak/>
        <w:t>подпрограммы, в том числе корректировка состава и сроков исполнения мероприятий с сохранением ожидаемых результатов.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Внешние риски могут являться следствием: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подпрограммой.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 xml:space="preserve">В рамках подпрограммы отсутствует возможность управления вышеуказанными рисками. Возможен лишь оперативный учет последствий </w:t>
      </w:r>
      <w:r w:rsidR="00E30961">
        <w:rPr>
          <w:sz w:val="28"/>
          <w:szCs w:val="28"/>
          <w:lang w:eastAsia="ru-RU"/>
        </w:rPr>
        <w:br/>
      </w:r>
      <w:r w:rsidRPr="00E30961">
        <w:rPr>
          <w:sz w:val="28"/>
          <w:szCs w:val="28"/>
          <w:lang w:eastAsia="ru-RU"/>
        </w:rPr>
        <w:t>их проявления.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Анализ и управление риском реализации подпрограммы обеспечивает: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8A48E1" w:rsidRPr="00E30961" w:rsidRDefault="008A48E1" w:rsidP="002C22E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постоянный учет всех факторов риска, влияющих на достижение цели подпрограммы;</w:t>
      </w:r>
    </w:p>
    <w:p w:rsidR="008A48E1" w:rsidRPr="00E30961" w:rsidRDefault="008A48E1" w:rsidP="002C22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30961">
        <w:rPr>
          <w:sz w:val="28"/>
          <w:szCs w:val="28"/>
          <w:lang w:eastAsia="ru-RU"/>
        </w:rPr>
        <w:t>правильный учет факторов риска, их тщательный анализ и разумная политика по управлению ими.</w:t>
      </w:r>
    </w:p>
    <w:p w:rsidR="008A48E1" w:rsidRPr="00E30961" w:rsidRDefault="008A48E1" w:rsidP="002C22E7">
      <w:pPr>
        <w:suppressAutoHyphens w:val="0"/>
        <w:ind w:firstLine="709"/>
        <w:jc w:val="both"/>
        <w:rPr>
          <w:sz w:val="28"/>
          <w:szCs w:val="28"/>
        </w:rPr>
      </w:pPr>
    </w:p>
    <w:sectPr w:rsidR="008A48E1" w:rsidRPr="00E30961" w:rsidSect="002C22E7">
      <w:footerReference w:type="default" r:id="rId12"/>
      <w:pgSz w:w="11906" w:h="16838"/>
      <w:pgMar w:top="1134" w:right="567" w:bottom="1134" w:left="1701" w:header="72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95F" w:rsidRDefault="00BF095F">
      <w:r>
        <w:separator/>
      </w:r>
    </w:p>
  </w:endnote>
  <w:endnote w:type="continuationSeparator" w:id="1">
    <w:p w:rsidR="00BF095F" w:rsidRDefault="00BF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CA" w:rsidRDefault="00BF095F">
    <w:pPr>
      <w:pStyle w:val="a3"/>
      <w:jc w:val="right"/>
      <w:rPr>
        <w:sz w:val="23"/>
      </w:rPr>
    </w:pPr>
  </w:p>
  <w:p w:rsidR="00F129CA" w:rsidRDefault="00BF095F">
    <w:pPr>
      <w:pStyle w:val="a3"/>
      <w:rPr>
        <w:sz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95F" w:rsidRDefault="00BF095F">
      <w:r>
        <w:separator/>
      </w:r>
    </w:p>
  </w:footnote>
  <w:footnote w:type="continuationSeparator" w:id="1">
    <w:p w:rsidR="00BF095F" w:rsidRDefault="00BF0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8E1"/>
    <w:rsid w:val="000D2063"/>
    <w:rsid w:val="002C22E7"/>
    <w:rsid w:val="005B6B53"/>
    <w:rsid w:val="00695D5A"/>
    <w:rsid w:val="00730DE8"/>
    <w:rsid w:val="008A48E1"/>
    <w:rsid w:val="00BF095F"/>
    <w:rsid w:val="00C97FFC"/>
    <w:rsid w:val="00CD2FA0"/>
    <w:rsid w:val="00E019E1"/>
    <w:rsid w:val="00E30961"/>
    <w:rsid w:val="00E46ECA"/>
    <w:rsid w:val="00F203B6"/>
    <w:rsid w:val="00F3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48E1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8A48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E019E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ody Text"/>
    <w:basedOn w:val="a"/>
    <w:link w:val="a6"/>
    <w:rsid w:val="00E019E1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2"/>
      <w:szCs w:val="22"/>
      <w:lang/>
    </w:rPr>
  </w:style>
  <w:style w:type="character" w:customStyle="1" w:styleId="a6">
    <w:name w:val="Основной текст Знак"/>
    <w:basedOn w:val="a0"/>
    <w:link w:val="a5"/>
    <w:rsid w:val="00E019E1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48E1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8A48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E019E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ody Text"/>
    <w:basedOn w:val="a"/>
    <w:link w:val="a6"/>
    <w:rsid w:val="00E019E1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2"/>
      <w:szCs w:val="22"/>
      <w:lang w:val="x-none" w:eastAsia="x-none"/>
    </w:rPr>
  </w:style>
  <w:style w:type="character" w:customStyle="1" w:styleId="a6">
    <w:name w:val="Основной текст Знак"/>
    <w:basedOn w:val="a0"/>
    <w:link w:val="a5"/>
    <w:rsid w:val="00E019E1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91/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4695/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0.222\Public\&#1060;&#1080;&#1085;&#1080;&#1082;&#1080;\&#1052;&#1059;&#1053;&#1048;&#1062;&#1048;&#1055;&#1040;&#1051;&#1068;&#1053;&#1067;&#1045;%20&#1055;&#1056;&#1054;&#1043;&#1056;&#1040;&#1052;&#1052;&#1067;\&#1052;&#1091;&#1085;&#1080;&#1094;&#1080;&#1087;&#1072;&#1083;&#1100;&#1085;&#1099;&#1077;%20&#1087;&#1088;&#1086;&#1075;&#1088;&#1072;&#1084;&#1084;&#1099;%202026%20&#1075;&#1086;&#1076;&#1072;\&#1052;&#1055;%20&#1054;&#1041;&#1045;&#1057;&#1055;&#1045;&#1063;&#1045;&#1053;&#1048;&#1045;%20&#1050;&#1040;&#1063;&#1045;&#1057;&#1058;&#1042;&#1045;&#1053;&#1053;&#1067;&#1052;%20&#1046;&#1048;&#1051;&#1068;&#1045;&#1052;%20&#1053;&#1040;&#1057;&#1045;&#1051;&#1045;&#1053;&#1048;&#1071;\&#1087;&#1086;%2089%20&#1080;%2090-&#1079;&#1075;&#1086;\576-&#1087;%20&#1086;&#1090;%2013.11.2024%20&#1075;.rtf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file:///\\192.168.0.222\Public\&#1060;&#1080;&#1085;&#1080;&#1082;&#1080;\&#1052;&#1059;&#1053;&#1048;&#1062;&#1048;&#1055;&#1040;&#1051;&#1068;&#1053;&#1067;&#1045;%20&#1055;&#1056;&#1054;&#1043;&#1056;&#1040;&#1052;&#1052;&#1067;\&#1052;&#1091;&#1085;&#1080;&#1094;&#1080;&#1087;&#1072;&#1083;&#1100;&#1085;&#1099;&#1077;%20&#1087;&#1088;&#1086;&#1075;&#1088;&#1072;&#1084;&#1084;&#1099;%202026%20&#1075;&#1086;&#1076;&#1072;\&#1052;&#1055;%20&#1054;&#1041;&#1045;&#1057;&#1055;&#1045;&#1063;&#1045;&#1053;&#1048;&#1045;%20&#1050;&#1040;&#1063;&#1045;&#1057;&#1058;&#1042;&#1045;&#1053;&#1053;&#1067;&#1052;%20&#1046;&#1048;&#1051;&#1068;&#1045;&#1052;%20&#1053;&#1040;&#1057;&#1045;&#1051;&#1045;&#1053;&#1048;&#1071;\&#1087;&#1086;%2089%20&#1080;%2090-&#1079;&#1075;&#1086;\576-&#1087;%20&#1086;&#1090;%2013.11.2024%20&#1075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222\Public\&#1060;&#1080;&#1085;&#1080;&#1082;&#1080;\&#1052;&#1059;&#1053;&#1048;&#1062;&#1048;&#1055;&#1040;&#1051;&#1068;&#1053;&#1067;&#1045;%20&#1055;&#1056;&#1054;&#1043;&#1056;&#1040;&#1052;&#1052;&#1067;\&#1052;&#1091;&#1085;&#1080;&#1094;&#1080;&#1087;&#1072;&#1083;&#1100;&#1085;&#1099;&#1077;%20&#1087;&#1088;&#1086;&#1075;&#1088;&#1072;&#1084;&#1084;&#1099;%202026%20&#1075;&#1086;&#1076;&#1072;\&#1052;&#1055;%20&#1054;&#1041;&#1045;&#1057;&#1055;&#1045;&#1063;&#1045;&#1053;&#1048;&#1045;%20&#1050;&#1040;&#1063;&#1045;&#1057;&#1058;&#1042;&#1045;&#1053;&#1053;&#1067;&#1052;%20&#1046;&#1048;&#1051;&#1068;&#1045;&#1052;%20&#1053;&#1040;&#1057;&#1045;&#1051;&#1045;&#1053;&#1048;&#1071;\&#1087;&#1086;%2089%20&#1080;%2090-&#1079;&#1075;&#1086;\576-&#1087;%20&#1086;&#1090;%2013.11.2024%20&#1075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2026-01-22T11:28:00Z</cp:lastPrinted>
  <dcterms:created xsi:type="dcterms:W3CDTF">2026-02-18T10:38:00Z</dcterms:created>
  <dcterms:modified xsi:type="dcterms:W3CDTF">2026-02-18T10:38:00Z</dcterms:modified>
</cp:coreProperties>
</file>